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40"/>
          <w:lang w:val="en-US" w:eastAsia="zh-CN"/>
        </w:rPr>
        <w:t>5</w:t>
      </w:r>
      <w:bookmarkStart w:id="0" w:name="_GoBack"/>
      <w:bookmarkEnd w:id="0"/>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hint="eastAsia" w:ascii="仿宋" w:hAnsi="仿宋" w:eastAsia="仿宋" w:cs="仿宋"/>
          <w:spacing w:val="-13"/>
          <w:w w:val="80"/>
          <w:sz w:val="31"/>
          <w:szCs w:val="31"/>
          <w:lang w:val="en-US" w:eastAsia="zh-CN"/>
        </w:rPr>
        <w:t>5</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ascii="仿宋" w:hAnsi="仿宋" w:eastAsia="仿宋" w:cs="仿宋"/>
          <w:spacing w:val="-43"/>
          <w:w w:val="80"/>
          <w:sz w:val="31"/>
          <w:szCs w:val="31"/>
        </w:rPr>
        <w:t xml:space="preserve"> </w:t>
      </w:r>
      <w:r>
        <w:rPr>
          <w:rFonts w:hint="eastAsia" w:ascii="仿宋" w:hAnsi="仿宋" w:eastAsia="仿宋" w:cs="仿宋"/>
          <w:spacing w:val="-13"/>
          <w:w w:val="80"/>
          <w:sz w:val="31"/>
          <w:szCs w:val="31"/>
          <w:lang w:val="en-US" w:eastAsia="zh-CN"/>
        </w:rPr>
        <w:t>9</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月8日下午，学校学习贯彻习近平新时代中国特色社会主义思想主题教育读书班开展分组交流研讨。学校党委书记秦祖泽，党委副书记、校长李宇飞，党委副书记、纪委书记顾晓健分别主持三个组讨论并发言。学校领导班子成员、相关中层干部、主题教育办成员等参加。</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分组讨论会上，大家紧紧围绕主题，结合自身学习和工作实际，既谈对党的创新理论的认识和理解，也谈贯彻落实的具体思路和打算。并结合理论学习中的所思所悟，把自己摆进去、把职责摆进去、把工作摆进去，畅谈体会，交流收获，切实做到学有所得、学有所获、学有所成。</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员们一致认为，读书班形式新颖，谋划精细，安排紧凑，内容丰富，收获满满。并表示下一步，将以此次读书班为契机，要坚持学思用贯通、知信行统一，把习近平新时代中国特色社会主义思想转化为坚定理想、锤炼党性和指导实践、推动工作的强大力量，自觉从党的创新理论中汲取智慧，切实掌握蕴含其中的立场观点方法，不断提高履职尽责的能力和水平，为学校各项事业高质量发展贡献力量。</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rFonts w:hint="eastAsia"/>
                <w:spacing w:val="-14"/>
                <w:lang w:val="en-US" w:eastAsia="zh-CN"/>
              </w:rPr>
              <w:t>5</w:t>
            </w:r>
            <w:r>
              <w:rPr>
                <w:spacing w:val="-14"/>
              </w:rPr>
              <w:t>月</w:t>
            </w:r>
            <w:r>
              <w:rPr>
                <w:spacing w:val="-42"/>
              </w:rPr>
              <w:t xml:space="preserve"> </w:t>
            </w:r>
            <w:r>
              <w:rPr>
                <w:rFonts w:hint="eastAsia"/>
                <w:spacing w:val="-14"/>
                <w:lang w:val="en-US" w:eastAsia="zh-CN"/>
              </w:rPr>
              <w:t>9</w:t>
            </w:r>
            <w:r>
              <w:rPr>
                <w:spacing w:val="-14"/>
              </w:rPr>
              <w:t>日印发</w:t>
            </w:r>
          </w:p>
        </w:tc>
      </w:tr>
    </w:tbl>
    <w:p>
      <w:pPr>
        <w:rPr>
          <w:rFonts w:hint="default"/>
          <w:lang w:val="en-US"/>
        </w:rPr>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23A149F4"/>
    <w:rsid w:val="1BBB6955"/>
    <w:rsid w:val="23A1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557</Words>
  <Characters>563</Characters>
  <Lines>0</Lines>
  <Paragraphs>0</Paragraphs>
  <TotalTime>2</TotalTime>
  <ScaleCrop>false</ScaleCrop>
  <LinksUpToDate>false</LinksUpToDate>
  <CharactersWithSpaces>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2023-05-12T08:06:00Z</dcterms:created>
  <dc:creator>呓语1400983267</dc:creator>
  <cp:lastModifiedBy>呓语1400983267</cp:lastModifiedBy>
  <dcterms:modified xsi:type="dcterms:W3CDTF">2023-05-12T08:08:50Z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8CDCDE4A8BD64F2286F2115C89D1D5FD_11</vt:lpwstr>
  </property>
</Properties>
</file>